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ame"/>
      </w:pPr>
      <w:r>
        <w:rPr/>
        <w:t xml:space="preserve">MIYAH SAIS</w:t>
      </w:r>
    </w:p>
    <w:p>
      <w:pPr>
        <w:pStyle w:val="Tagline"/>
      </w:pPr>
      <w:r>
        <w:rPr/>
        <w:t xml:space="preserve">Recherche clinique · Affaires médicales · MSL</w:t>
      </w:r>
    </w:p>
    <w:p>
      <w:pPr>
        <w:pStyle w:val="Contact"/>
      </w:pPr>
      <w:r>
        <w:rPr/>
        <w:t xml:space="preserve">Docteure en médecine  |  France  |  +33 7 74 58 67 89  |  smiyah@gmail.com  |  linkedin.com/in/saismiyah  |  miyahsais.online</w:t>
      </w:r>
    </w:p>
    <w:p>
      <w:pPr>
        <w:pStyle w:val="Section"/>
      </w:pPr>
      <w:r>
        <w:rPr/>
        <w:t xml:space="preserve">PROFIL</w:t>
      </w:r>
    </w:p>
    <w:p>
      <w:pPr>
        <w:pStyle w:val="Profile"/>
      </w:pPr>
      <w:r>
        <w:rPr/>
        <w:t xml:space="preserve">Médecin de formation, mon parcours s’est construit autour de la recherche clinique, des affaires médicales et du développement de produits de santé, en industrie pharmaceutique comme dans le dispositif médical : diabète, cardiologie, oncologie, infectiologie, neurologie et médecine esthétique.</w:t>
      </w:r>
    </w:p>
    <w:p>
      <w:pPr>
        <w:pStyle w:val="Profile"/>
      </w:pPr>
      <w:r>
        <w:rPr/>
        <w:t xml:space="preserve">J’ai exercé des fonctions de terrain et de pilotage scientifique chez Sanofi et Merck, ainsi que des missions de structuration des Affaires Médicales pour un dispositif médical marqué CE de classe III. J’évolue dans des environnements scientifiques et réglementés, notamment GCP/ICH, MDR 2017/745 et pharmacovigilance, en interaction avec les équipes médicales, MSL, vente, CRO et professionnels de santé.</w:t>
      </w:r>
    </w:p>
    <w:p>
      <w:pPr>
        <w:pStyle w:val="Profile"/>
      </w:pPr>
      <w:r>
        <w:rPr/>
        <w:t xml:space="preserve">Je souhaite mettre cette double expertise médicale et opérationnelle au service d’un projet à forte dimension scientifique, médicale ou clinique.</w:t>
      </w:r>
    </w:p>
    <w:p>
      <w:pPr>
        <w:pStyle w:val="Section"/>
      </w:pPr>
      <w:r>
        <w:rPr/>
        <w:t xml:space="preserve">COMPÉTENCES CLÉS</w:t>
      </w:r>
    </w:p>
    <w:p>
      <w:pPr>
        <w:pStyle w:val="Expertise"/>
      </w:pPr>
      <w:r>
        <w:rPr>
          <w:b/>
          <w:color w:val="123640"/>
        </w:rPr>
        <w:t xml:space="preserve">Recherche clinique: </w:t>
      </w:r>
      <w:r>
        <w:rPr/>
        <w:t xml:space="preserve">monitoring, GCP/ICH, coordination CRO, suivi d’études multicentriques, qualité des données, query management</w:t>
      </w:r>
    </w:p>
    <w:p>
      <w:pPr>
        <w:pStyle w:val="Expertise"/>
      </w:pPr>
      <w:r>
        <w:rPr>
          <w:b/>
          <w:color w:val="123640"/>
        </w:rPr>
        <w:t xml:space="preserve">Affaires médicales &amp; MSL: </w:t>
      </w:r>
      <w:r>
        <w:rPr/>
        <w:t xml:space="preserve">visite médicale, formation des professionnels de santé, animation d’équipes MSL, relations KOL / Thought Leaders</w:t>
      </w:r>
    </w:p>
    <w:p>
      <w:pPr>
        <w:pStyle w:val="Expertise"/>
      </w:pPr>
      <w:r>
        <w:rPr>
          <w:b/>
          <w:color w:val="123640"/>
        </w:rPr>
        <w:t xml:space="preserve">Lancement &amp; gestion de produit: </w:t>
      </w:r>
      <w:r>
        <w:rPr/>
        <w:t xml:space="preserve">plans de lancement, programmes de support patients (PSP), coordination médical, marketing et market access</w:t>
      </w:r>
    </w:p>
    <w:p>
      <w:pPr>
        <w:pStyle w:val="Expertise"/>
      </w:pPr>
      <w:r>
        <w:rPr>
          <w:b/>
          <w:color w:val="123640"/>
        </w:rPr>
        <w:t xml:space="preserve">Conformité réglementaire: </w:t>
      </w:r>
      <w:r>
        <w:rPr/>
        <w:t xml:space="preserve">pharmacovigilance, MDR 2017/745, documentation médicale, éthique médicale, bonnes pratiques cliniques</w:t>
      </w:r>
    </w:p>
    <w:p>
      <w:pPr>
        <w:pStyle w:val="Expertise"/>
      </w:pPr>
      <w:r>
        <w:rPr>
          <w:b/>
          <w:color w:val="123640"/>
        </w:rPr>
        <w:t xml:space="preserve">Gestion de projet: </w:t>
      </w:r>
      <w:r>
        <w:rPr/>
        <w:t xml:space="preserve">plans d’action, tableaux de bord KPI, coordination de parties prenantes internes, externes et multi-pays</w:t>
      </w:r>
    </w:p>
    <w:p>
      <w:pPr>
        <w:pStyle w:val="Expertise"/>
      </w:pPr>
      <w:r>
        <w:rPr>
          <w:b/>
          <w:color w:val="123640"/>
        </w:rPr>
        <w:t xml:space="preserve">Medical Excellence: </w:t>
      </w:r>
      <w:r>
        <w:rPr/>
        <w:t xml:space="preserve">advisory boards, pilotage d’équipes pluridisciplinaires, gouvernance et outils de suivi MSL</w:t>
      </w:r>
    </w:p>
    <w:p>
      <w:pPr>
        <w:pStyle w:val="Section"/>
      </w:pPr>
      <w:r>
        <w:rPr/>
        <w:t xml:space="preserve">EXPÉRIENCE PROFESSIONNELLE</w:t>
      </w:r>
    </w:p>
    <w:p>
      <w:pPr>
        <w:pStyle w:val="Job"/>
      </w:pPr>
      <w:r>
        <w:rPr>
          <w:b/>
          <w:color w:val="123640"/>
        </w:rPr>
        <w:t xml:space="preserve">Responsable Affaires Médicales et Cheffe de Projet  |  Avril – Juin 2026</w:t>
      </w:r>
    </w:p>
    <w:p>
      <w:pPr>
        <w:pStyle w:val="Company"/>
      </w:pPr>
      <w:r>
        <w:rPr>
          <w:i/>
          <w:color w:val="355761"/>
        </w:rPr>
        <w:t xml:space="preserve">Revitacare · Saint-Ouen-l’Aumône, France</w:t>
      </w:r>
    </w:p>
    <w:p>
      <w:pPr>
        <w:pStyle w:val="Bullet"/>
      </w:pPr>
      <w:r>
        <w:rPr/>
        <w:t xml:space="preserve">• Structuration de la fonction Affaires Médicales pour un dispositif médical marqué CE de classe III : Evidence Book, revue de littérature et benchmark concurrentiel.</w:t>
      </w:r>
    </w:p>
    <w:p>
      <w:pPr>
        <w:pStyle w:val="Bullet"/>
      </w:pPr>
      <w:r>
        <w:rPr/>
        <w:t xml:space="preserve">• Élaboration d’un plan d’action et d’un tableau de bord KPI ; coordination de CRO et partenaires répartis dans 4 pays.</w:t>
      </w:r>
    </w:p>
    <w:p>
      <w:pPr>
        <w:pStyle w:val="Bullet"/>
      </w:pPr>
      <w:r>
        <w:rPr/>
        <w:t xml:space="preserve">• Identification d’une étude clinique en cohérence avec les exigences du règlement MDR 2017/745, en vue d’une publication indexée.</w:t>
      </w:r>
    </w:p>
    <w:p>
      <w:pPr>
        <w:pStyle w:val="Job"/>
      </w:pPr>
      <w:r>
        <w:rPr>
          <w:b/>
          <w:color w:val="123640"/>
        </w:rPr>
        <w:t xml:space="preserve">Chargée de Projet  |  2024 – 2025</w:t>
      </w:r>
    </w:p>
    <w:p>
      <w:pPr>
        <w:pStyle w:val="Company"/>
      </w:pPr>
      <w:r>
        <w:rPr>
          <w:i/>
          <w:color w:val="355761"/>
        </w:rPr>
        <w:t xml:space="preserve">Yassir France · Paris, France</w:t>
      </w:r>
    </w:p>
    <w:p>
      <w:pPr>
        <w:pStyle w:val="Bullet"/>
      </w:pPr>
      <w:r>
        <w:rPr/>
        <w:t xml:space="preserve">• Coordination de projets et animation des interfaces entre parties prenantes internes et externes dans un environnement multiculturel.</w:t>
      </w:r>
    </w:p>
    <w:p>
      <w:pPr>
        <w:pStyle w:val="Bullet"/>
      </w:pPr>
      <w:r>
        <w:rPr/>
        <w:t xml:space="preserve">• Mise en œuvre d’activités marketing locales et analyse de données de marché.</w:t>
      </w:r>
    </w:p>
    <w:p>
      <w:pPr>
        <w:pStyle w:val="Job"/>
      </w:pPr>
      <w:r>
        <w:rPr>
          <w:b/>
          <w:color w:val="123640"/>
        </w:rPr>
        <w:t xml:space="preserve">Consultante Projets Santé  |  2020 – 2022</w:t>
      </w:r>
    </w:p>
    <w:p>
      <w:pPr>
        <w:pStyle w:val="Company"/>
      </w:pPr>
      <w:r>
        <w:rPr>
          <w:i/>
          <w:color w:val="355761"/>
        </w:rPr>
        <w:t xml:space="preserve">Axelys Santé · Alger, Algérie</w:t>
      </w:r>
    </w:p>
    <w:p>
      <w:pPr>
        <w:pStyle w:val="Bullet"/>
      </w:pPr>
      <w:r>
        <w:rPr/>
        <w:t xml:space="preserve">• Gestion d’études cliniques et de programmes de support patients (PSP), en conformité avec la réglementation locale.</w:t>
      </w:r>
    </w:p>
    <w:p>
      <w:pPr>
        <w:pStyle w:val="Bullet"/>
      </w:pPr>
      <w:r>
        <w:rPr/>
        <w:t xml:space="preserve">• Interface avec les organismes de conformité et suivi de la documentation réglementaire.</w:t>
      </w:r>
    </w:p>
    <w:p>
      <w:pPr>
        <w:pStyle w:val="Job"/>
      </w:pPr>
      <w:r>
        <w:rPr>
          <w:b/>
          <w:color w:val="123640"/>
        </w:rPr>
        <w:t xml:space="preserve">Praticienne en cabinet libéral  |  2018 – 2022</w:t>
      </w:r>
    </w:p>
    <w:p>
      <w:pPr>
        <w:pStyle w:val="Company"/>
      </w:pPr>
      <w:r>
        <w:rPr>
          <w:i/>
          <w:color w:val="355761"/>
        </w:rPr>
        <w:t xml:space="preserve">Cabinet libéral · Alger, Algérie</w:t>
      </w:r>
    </w:p>
    <w:p>
      <w:pPr>
        <w:pStyle w:val="Bullet"/>
      </w:pPr>
      <w:r>
        <w:rPr/>
        <w:t xml:space="preserve">• Gestion autonome de l’activité médicale : organisation du planning, suivi administratif et relation patientèle.</w:t>
      </w:r>
    </w:p>
    <w:p>
      <w:pPr>
        <w:pStyle w:val="Job"/>
      </w:pPr>
      <w:r>
        <w:rPr>
          <w:b/>
          <w:color w:val="123640"/>
        </w:rPr>
        <w:t xml:space="preserve">Medical Manager Neurologie NWA  |  2017 · 6 mois</w:t>
      </w:r>
    </w:p>
    <w:p>
      <w:pPr>
        <w:pStyle w:val="Company"/>
      </w:pPr>
      <w:r>
        <w:rPr>
          <w:i/>
          <w:color w:val="355761"/>
        </w:rPr>
        <w:t xml:space="preserve">Merck Group · Tunisie</w:t>
      </w:r>
    </w:p>
    <w:p>
      <w:pPr>
        <w:pStyle w:val="Bullet"/>
      </w:pPr>
      <w:r>
        <w:rPr/>
        <w:t xml:space="preserve">• Pilotage du lancement d’un nouveau produit en sclérose en plaques, en coordination avec les équipes médical, marketing et market access.</w:t>
      </w:r>
    </w:p>
    <w:p>
      <w:pPr>
        <w:pStyle w:val="Bullet"/>
      </w:pPr>
      <w:r>
        <w:rPr/>
        <w:t xml:space="preserve">• Gestion du programme de support patients (PSP) dédié, de la conception au déploiement terrain.</w:t>
      </w:r>
    </w:p>
    <w:p>
      <w:pPr/>
      <w:r>
        <w:br w:type="page"/>
      </w:r>
    </w:p>
    <w:p>
      <w:pPr>
        <w:pStyle w:val="Section"/>
      </w:pPr>
      <w:r>
        <w:rPr/>
        <w:t xml:space="preserve">PARCOURS SANOFI</w:t>
      </w:r>
    </w:p>
    <w:p>
      <w:pPr>
        <w:pStyle w:val="Job"/>
      </w:pPr>
      <w:r>
        <w:rPr>
          <w:b/>
          <w:color w:val="123640"/>
        </w:rPr>
        <w:t xml:space="preserve">Responsable Excellence Médicale et Opérations Cliniques  |  2010 – 2016</w:t>
      </w:r>
    </w:p>
    <w:p>
      <w:pPr>
        <w:pStyle w:val="Company"/>
      </w:pPr>
      <w:r>
        <w:rPr>
          <w:i/>
          <w:color w:val="355761"/>
        </w:rPr>
        <w:t xml:space="preserve">Sanofi · Alger, Algérie</w:t>
      </w:r>
    </w:p>
    <w:p>
      <w:pPr>
        <w:pStyle w:val="Bullet"/>
      </w:pPr>
      <w:r>
        <w:rPr/>
        <w:t xml:space="preserve">• Coordination d’études cliniques dans plusieurs aires thérapeutiques : diabète, cardiologie, oncologie et infectiologie.</w:t>
      </w:r>
    </w:p>
    <w:p>
      <w:pPr>
        <w:pStyle w:val="Bullet"/>
      </w:pPr>
      <w:r>
        <w:rPr/>
        <w:t xml:space="preserve">• Supervision des CRO, animation de comités consultatifs (advisory boards) et pilotage de la pharmacovigilance.</w:t>
      </w:r>
    </w:p>
    <w:p>
      <w:pPr>
        <w:pStyle w:val="Bullet"/>
      </w:pPr>
      <w:r>
        <w:rPr/>
        <w:t xml:space="preserve">• Management d’une équipe pluridisciplinaire : MSL, éducateurs médicaux et centre d’appels dédié.</w:t>
      </w:r>
    </w:p>
    <w:p>
      <w:pPr>
        <w:pStyle w:val="Job"/>
      </w:pPr>
      <w:r>
        <w:rPr>
          <w:b/>
          <w:color w:val="123640"/>
        </w:rPr>
        <w:t xml:space="preserve">Manager Excellence Médicale et Équipe MSL Diabète  |  2007 – 2010</w:t>
      </w:r>
    </w:p>
    <w:p>
      <w:pPr>
        <w:pStyle w:val="Company"/>
      </w:pPr>
      <w:r>
        <w:rPr>
          <w:i/>
          <w:color w:val="355761"/>
        </w:rPr>
        <w:t xml:space="preserve">Sanofi · Alger, Algérie</w:t>
      </w:r>
    </w:p>
    <w:p>
      <w:pPr>
        <w:pStyle w:val="Bullet"/>
      </w:pPr>
      <w:r>
        <w:rPr/>
        <w:t xml:space="preserve">• Conception et déploiement de CoMet, plateforme de gestion des professionnels de santé, pilotée en transverse avec les équipes contrôle interne, vente, marketing, médical et conformité.</w:t>
      </w:r>
    </w:p>
    <w:p>
      <w:pPr>
        <w:pStyle w:val="Bullet"/>
      </w:pPr>
      <w:r>
        <w:rPr/>
        <w:t xml:space="preserve">• Mise en place de tableaux de suivi pour le pilotage de l’équipe MSL.</w:t>
      </w:r>
    </w:p>
    <w:p>
      <w:pPr>
        <w:pStyle w:val="Job"/>
      </w:pPr>
      <w:r>
        <w:rPr>
          <w:b/>
          <w:color w:val="123640"/>
        </w:rPr>
        <w:t xml:space="preserve">Médecin Produit Infectieux et Douleur / HSE Manager  |  2005 – 2007</w:t>
      </w:r>
    </w:p>
    <w:p>
      <w:pPr>
        <w:pStyle w:val="Company"/>
      </w:pPr>
      <w:r>
        <w:rPr>
          <w:i/>
          <w:color w:val="355761"/>
        </w:rPr>
        <w:t xml:space="preserve">Sanofi · Alger, Algérie</w:t>
      </w:r>
    </w:p>
    <w:p>
      <w:pPr>
        <w:pStyle w:val="Bullet"/>
      </w:pPr>
      <w:r>
        <w:rPr/>
        <w:t xml:space="preserve">• Activité médicale de terrain en infectiologie et prise en charge de la douleur, au contact direct des professionnels de santé.</w:t>
      </w:r>
    </w:p>
    <w:p>
      <w:pPr>
        <w:pStyle w:val="Bullet"/>
      </w:pPr>
      <w:r>
        <w:rPr/>
        <w:t xml:space="preserve">• Validation du matériel promotionnel et garantie du respect de l’éthique médicale et des bonnes pratiques cliniques (GCP/ICH).</w:t>
      </w:r>
    </w:p>
    <w:p>
      <w:pPr>
        <w:pStyle w:val="Job"/>
      </w:pPr>
      <w:r>
        <w:rPr>
          <w:b/>
          <w:color w:val="123640"/>
        </w:rPr>
        <w:t xml:space="preserve">Attachée de Recherche Clinique, Diabète  |  2004 – 2005</w:t>
      </w:r>
    </w:p>
    <w:p>
      <w:pPr>
        <w:pStyle w:val="Company"/>
      </w:pPr>
      <w:r>
        <w:rPr>
          <w:i/>
          <w:color w:val="355761"/>
        </w:rPr>
        <w:t xml:space="preserve">Sanofi · Alger, Algérie</w:t>
      </w:r>
    </w:p>
    <w:p>
      <w:pPr>
        <w:pStyle w:val="Bullet"/>
      </w:pPr>
      <w:r>
        <w:rPr/>
        <w:t xml:space="preserve">• Suivi d’études cliniques en diabète : monitoring, contribution au recueil et à la qualité des données, conformité aux bonnes pratiques cliniques.</w:t>
      </w:r>
    </w:p>
    <w:p>
      <w:pPr>
        <w:pStyle w:val="Job"/>
      </w:pPr>
      <w:r>
        <w:rPr>
          <w:b/>
          <w:color w:val="123640"/>
        </w:rPr>
        <w:t xml:space="preserve">Délégué Médical, Infectieux / Respiratoire / Cardio-thrombose  |  2002 – 2004</w:t>
      </w:r>
    </w:p>
    <w:p>
      <w:pPr>
        <w:pStyle w:val="Company"/>
      </w:pPr>
      <w:r>
        <w:rPr>
          <w:i/>
          <w:color w:val="355761"/>
        </w:rPr>
        <w:t xml:space="preserve">Sanofi · Alger, Algérie</w:t>
      </w:r>
    </w:p>
    <w:p>
      <w:pPr>
        <w:pStyle w:val="Bullet"/>
      </w:pPr>
      <w:r>
        <w:rPr/>
        <w:t xml:space="preserve">• Information médicale et scientifique des professionnels de santé sur ces trois aires thérapeutiques.</w:t>
      </w:r>
    </w:p>
    <w:p>
      <w:pPr>
        <w:pStyle w:val="Bullet"/>
      </w:pPr>
      <w:r>
        <w:rPr/>
        <w:t xml:space="preserve">• Développement d’un réseau de contacts médicaux et recueil des premiers éléments de pharmacovigilance sur le terrain.</w:t>
      </w:r>
    </w:p>
    <w:p>
      <w:pPr>
        <w:pStyle w:val="Section"/>
      </w:pPr>
      <w:r>
        <w:rPr/>
        <w:t xml:space="preserve">FORMATION</w:t>
      </w:r>
    </w:p>
    <w:p>
      <w:pPr>
        <w:pStyle w:val="Education"/>
      </w:pPr>
      <w:r>
        <w:rPr>
          <w:b/>
          <w:color w:val="123640"/>
        </w:rPr>
        <w:t xml:space="preserve">MBA Marketing Digital  |  2022 – 2023</w:t>
      </w:r>
    </w:p>
    <w:p>
      <w:pPr>
        <w:pStyle w:val="Company"/>
      </w:pPr>
      <w:r>
        <w:rPr>
          <w:i/>
          <w:color w:val="355761"/>
        </w:rPr>
        <w:t xml:space="preserve">Devinci Executive Education · Paris</w:t>
      </w:r>
    </w:p>
    <w:p>
      <w:pPr>
        <w:pStyle w:val="Education"/>
      </w:pPr>
      <w:r>
        <w:rPr>
          <w:b/>
          <w:color w:val="123640"/>
        </w:rPr>
        <w:t xml:space="preserve">Formation en médecine esthétique  |  2016</w:t>
      </w:r>
    </w:p>
    <w:p>
      <w:pPr>
        <w:pStyle w:val="Company"/>
      </w:pPr>
      <w:r>
        <w:rPr>
          <w:i/>
          <w:color w:val="355761"/>
        </w:rPr>
        <w:t xml:space="preserve">CIME · Paris</w:t>
      </w:r>
    </w:p>
    <w:p>
      <w:pPr>
        <w:pStyle w:val="Education"/>
      </w:pPr>
      <w:r>
        <w:rPr>
          <w:b/>
          <w:color w:val="123640"/>
        </w:rPr>
        <w:t xml:space="preserve">Diplôme de docteur en médecine générale  |  1992 – 2000</w:t>
      </w:r>
    </w:p>
    <w:p>
      <w:pPr>
        <w:pStyle w:val="Company"/>
      </w:pPr>
      <w:r>
        <w:rPr>
          <w:i/>
          <w:color w:val="355761"/>
        </w:rPr>
        <w:t xml:space="preserve">Faculté de Médecine d’Alger</w:t>
      </w:r>
    </w:p>
    <w:p>
      <w:pPr>
        <w:pStyle w:val="Section"/>
      </w:pPr>
      <w:r>
        <w:rPr/>
        <w:t xml:space="preserve">LANGUES</w:t>
      </w:r>
    </w:p>
    <w:p>
      <w:pPr>
        <w:pStyle w:val="Languages"/>
      </w:pPr>
      <w:r>
        <w:rPr/>
        <w:t xml:space="preserve">Français — langue maternelle</w:t>
      </w:r>
      <w:r>
        <w:rPr/>
        <w:t xml:space="preserve">   •   Arabe — langue maternelle</w:t>
      </w:r>
      <w:r>
        <w:rPr/>
        <w:t xml:space="preserve">   •   Anglais — B2</w:t>
      </w:r>
    </w:p>
    <w:sectPr>
      <w:pgSz w:w="11906" w:h="16838"/>
      <w:pgMar w:top="770" w:right="880" w:bottom="770" w:left="880" w:header="400" w:footer="400" w:gutter="0"/>
    </w:sectPr>
  </w:body>
</w:document>
</file>

<file path=word/styles.xml><?xml version="1.0" encoding="utf-8"?>
<w:styles xmlns:w="http://schemas.openxmlformats.org/wordprocessingml/2006/main">
  <w:docDefaults>
    <w:rPrDefault>
      <w:rPr>
        <w:rFonts w:ascii="Arial" w:hAnsi="Arial"/>
        <w:sz w:val="17"/>
        <w:color w:val="0B252D"/>
      </w:rPr>
    </w:rPrDefault>
    <w:pPrDefault>
      <w:pPr>
        <w:spacing w:after="36" w:line="220" w:lineRule="auto"/>
      </w:pPr>
    </w:pPrDefault>
  </w:docDefaults>
  <w:style w:type="paragraph" w:default="1" w:styleId="Normal">
    <w:name w:val="Normal"/>
  </w:style>
  <w:style w:type="paragraph" w:styleId="Name">
    <w:name w:val="Name"/>
    <w:rPr>
      <w:b/>
      <w:color w:val="123640"/>
      <w:sz w:val="48"/>
    </w:rPr>
    <w:pPr>
      <w:spacing w:after="10"/>
    </w:pPr>
  </w:style>
  <w:style w:type="paragraph" w:styleId="Tagline">
    <w:name w:val="Tagline"/>
    <w:rPr>
      <w:b/>
      <w:color w:val="C98B68"/>
      <w:sz w:val="21"/>
    </w:rPr>
    <w:pPr>
      <w:spacing w:after="60"/>
    </w:pPr>
  </w:style>
  <w:style w:type="paragraph" w:styleId="Contact">
    <w:name w:val="Contact"/>
    <w:rPr>
      <w:color w:val="355761"/>
      <w:sz w:val="16"/>
    </w:rPr>
    <w:pPr>
      <w:spacing w:after="90"/>
    </w:pPr>
  </w:style>
  <w:style w:type="paragraph" w:styleId="Section">
    <w:name w:val="Section"/>
    <w:rPr>
      <w:b/>
      <w:color w:val="123640"/>
      <w:sz w:val="20"/>
    </w:rPr>
    <w:pPr>
      <w:spacing w:before="90" w:after="48"/>
      <w:pBdr>
        <w:bottom w:val="single" w:sz="8" w:space="2" w:color="C98B68"/>
      </w:pBdr>
      <w:keepNext/>
    </w:pPr>
  </w:style>
  <w:style w:type="paragraph" w:styleId="Profile">
    <w:name w:val="Profile"/>
    <w:rPr>
      <w:sz w:val="17"/>
    </w:rPr>
    <w:pPr>
      <w:spacing w:after="40"/>
    </w:pPr>
  </w:style>
  <w:style w:type="paragraph" w:styleId="Expertise">
    <w:name w:val="Expertise"/>
    <w:rPr>
      <w:sz w:val="16"/>
    </w:rPr>
    <w:pPr>
      <w:spacing w:after="28"/>
    </w:pPr>
  </w:style>
  <w:style w:type="paragraph" w:styleId="Job">
    <w:name w:val="Job"/>
    <w:rPr>
      <w:b/>
      <w:color w:val="123640"/>
      <w:sz w:val="17"/>
    </w:rPr>
    <w:pPr>
      <w:spacing w:before="55" w:after="8"/>
      <w:keepNext/>
    </w:pPr>
  </w:style>
  <w:style w:type="paragraph" w:styleId="Company">
    <w:name w:val="Company"/>
    <w:rPr>
      <w:i/>
      <w:color w:val="355761"/>
      <w:sz w:val="16"/>
    </w:rPr>
    <w:pPr>
      <w:spacing w:after="18"/>
      <w:keepNext/>
    </w:pPr>
  </w:style>
  <w:style w:type="paragraph" w:styleId="Bullet">
    <w:name w:val="Bullet"/>
    <w:rPr>
      <w:sz w:val="16"/>
    </w:rPr>
    <w:pPr>
      <w:ind w:left="330" w:hanging="230"/>
      <w:spacing w:after="12"/>
    </w:pPr>
  </w:style>
  <w:style w:type="paragraph" w:styleId="Education">
    <w:name w:val="Education"/>
    <w:rPr>
      <w:b/>
      <w:color w:val="123640"/>
      <w:sz w:val="17"/>
    </w:rPr>
    <w:pPr>
      <w:spacing w:before="34" w:after="8"/>
      <w:keepNext/>
    </w:pPr>
  </w:style>
  <w:style w:type="paragraph" w:styleId="Languages">
    <w:name w:val="Languages"/>
    <w:rPr>
      <w:sz w:val="17"/>
    </w:rPr>
    <w:pPr>
      <w:spacing w:after="0"/>
    </w:p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